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CEC" w:rsidRDefault="00360CEC" w:rsidP="00360CEC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Gobierno Municipal en coordinación con la Dirección de ecología.</w:t>
      </w:r>
      <w:r>
        <w:rPr>
          <w:rFonts w:ascii="Helvetica" w:hAnsi="Helvetica" w:cs="Helvetica"/>
          <w:color w:val="1D2129"/>
          <w:sz w:val="21"/>
          <w:szCs w:val="21"/>
        </w:rPr>
        <w:br/>
        <w:t>Dpto. Educación y cultura ambiental en coordinación con el instituto de la juventud informan:</w:t>
      </w:r>
    </w:p>
    <w:p w:rsidR="00360CEC" w:rsidRDefault="00360CEC" w:rsidP="00360CE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 xml:space="preserve">El seguimiento al proyecto de huerto escolar orgánico resulta de mucha importancia y de gran impacto para las comunidades, el día de hoy se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llevo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a cabo el taller nombrado “Elaboración de caldos minerales y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biorrepelentes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>” talleres que forman parte del mismo proyecto que integran los requerimientos que se necesitan para</w:t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 poder crear un huerto orgánico, esta actividad se sigue llevando a cabo en el preescolar de la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Estanzuela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, con los padres de familia, el instituto de la juventud y ahora la integración de 4 alumnos de 6to semestre de la materia de Desarrollo Comunitario del Tecnológico Superior De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Cocula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, la coordinación que se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esta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haciendo con los alumnos del Tecnológico es con el fin de brindar acompañamiento y asistencia técnica a las familias que integren el huerto orgánico a sus actividades cotidianas, de esta forma tendrán alimentos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mas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saludables y asequibles. Los productos que se obtuvieron son los siguientes; </w:t>
      </w:r>
      <w:r>
        <w:rPr>
          <w:rFonts w:ascii="inherit" w:hAnsi="inherit" w:cs="Helvetica"/>
          <w:color w:val="1D2129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Caldo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sulfocalcico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Caldo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bordeles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 </w:t>
      </w:r>
      <w:r>
        <w:rPr>
          <w:rFonts w:ascii="inherit" w:hAnsi="inherit" w:cs="Helvetica"/>
          <w:color w:val="1D2129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>Caldo de ceniza y jabón 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Biorrepelente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a base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e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alcohol de higuerilla 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Biorrepelente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a base de aceite de Chicalote 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Biorrepelente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de ajo, cebolla y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aji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 </w:t>
      </w:r>
      <w:r>
        <w:rPr>
          <w:rFonts w:ascii="inherit" w:hAnsi="inherit" w:cs="Helvetica"/>
          <w:color w:val="1D2129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Los productos anteriores sirven para la prevención y combate de plagas y enfermedades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mas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comunes en la producción de hortalizas, son productos biodegradables, fáciles de elaborar y que aparte de prevenir plagas y enfermedades ayudan a nutrir el suelo. </w:t>
      </w:r>
      <w:r>
        <w:rPr>
          <w:rFonts w:ascii="inherit" w:hAnsi="inherit" w:cs="Helvetica"/>
          <w:color w:val="1D2129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>Con esta actividad reafirmamos nuestro compromiso con los objetivos del desarrollo y la necesidad de aplicar la transferencia de tecnologías para el desarrollo humano sustentable para aumentar y desarrollar las capacidades de los pobladores de las comunidades, a través del buen uso y aprovechamiento razonable de los recursos naturales.</w:t>
      </w:r>
    </w:p>
    <w:p w:rsidR="00B70736" w:rsidRDefault="00360CEC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46BAF392" wp14:editId="0D1EF166">
            <wp:simplePos x="0" y="0"/>
            <wp:positionH relativeFrom="column">
              <wp:posOffset>3529965</wp:posOffset>
            </wp:positionH>
            <wp:positionV relativeFrom="paragraph">
              <wp:posOffset>85725</wp:posOffset>
            </wp:positionV>
            <wp:extent cx="1457325" cy="1943100"/>
            <wp:effectExtent l="0" t="0" r="9525" b="0"/>
            <wp:wrapTight wrapText="bothSides">
              <wp:wrapPolygon edited="0">
                <wp:start x="0" y="0"/>
                <wp:lineTo x="0" y="21388"/>
                <wp:lineTo x="21459" y="21388"/>
                <wp:lineTo x="21459" y="0"/>
                <wp:lineTo x="0" y="0"/>
              </wp:wrapPolygon>
            </wp:wrapTight>
            <wp:docPr id="1" name="Imagen 1" descr="C:\Users\user\AppData\Local\Microsoft\Windows\INetCache\Content.Word\WhatsApp Image 2019-03-07 at 3.14.5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WhatsApp Image 2019-03-07 at 3.14.53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7E39F42D" wp14:editId="10596E3E">
            <wp:simplePos x="0" y="0"/>
            <wp:positionH relativeFrom="column">
              <wp:posOffset>596265</wp:posOffset>
            </wp:positionH>
            <wp:positionV relativeFrom="paragraph">
              <wp:posOffset>121920</wp:posOffset>
            </wp:positionV>
            <wp:extent cx="1733550" cy="1295400"/>
            <wp:effectExtent l="0" t="0" r="0" b="0"/>
            <wp:wrapTight wrapText="bothSides">
              <wp:wrapPolygon edited="0">
                <wp:start x="0" y="0"/>
                <wp:lineTo x="0" y="21282"/>
                <wp:lineTo x="21363" y="21282"/>
                <wp:lineTo x="21363" y="0"/>
                <wp:lineTo x="0" y="0"/>
              </wp:wrapPolygon>
            </wp:wrapTight>
            <wp:docPr id="2" name="Imagen 2" descr="C:\Users\user\AppData\Local\Microsoft\Windows\INetCache\Content.Word\WhatsApp Image 2019-03-07 at 3.14.5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INetCache\Content.Word\WhatsApp Image 2019-03-07 at 3.14.52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707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AFC"/>
    <w:rsid w:val="00360CEC"/>
    <w:rsid w:val="00B70736"/>
    <w:rsid w:val="00E3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99111-0F8F-41B8-8AF3-9CA881DB4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360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0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2019-04-02T14:52:00Z</dcterms:created>
  <dcterms:modified xsi:type="dcterms:W3CDTF">2019-04-02T15:09:00Z</dcterms:modified>
</cp:coreProperties>
</file>